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64BAA" w14:paraId="4408A6B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C4C55D0" w14:textId="77777777" w:rsidR="00A64BA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784FDC7" w14:textId="77777777" w:rsidR="00A64BAA" w:rsidRDefault="00000000">
            <w:pPr>
              <w:spacing w:after="0" w:line="240" w:lineRule="auto"/>
            </w:pPr>
            <w:r>
              <w:t>37574</w:t>
            </w:r>
          </w:p>
        </w:tc>
      </w:tr>
      <w:tr w:rsidR="00A64BAA" w14:paraId="457B28B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AF18CC9" w14:textId="77777777" w:rsidR="00A64BA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FB2B29E" w14:textId="77777777" w:rsidR="00A64BAA" w:rsidRDefault="00000000">
            <w:pPr>
              <w:spacing w:after="0" w:line="240" w:lineRule="auto"/>
            </w:pPr>
            <w:r>
              <w:t>GRAD KOMIŽA</w:t>
            </w:r>
          </w:p>
        </w:tc>
      </w:tr>
      <w:tr w:rsidR="00A64BAA" w14:paraId="695822A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D51194" w14:textId="77777777" w:rsidR="00A64BA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910173C" w14:textId="77777777" w:rsidR="00A64BAA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7537246E" w14:textId="77777777" w:rsidR="00A64BAA" w:rsidRDefault="00000000">
      <w:r>
        <w:br/>
      </w:r>
    </w:p>
    <w:p w14:paraId="6E4FD598" w14:textId="62FE941A" w:rsidR="00A64BAA" w:rsidRDefault="00000000" w:rsidP="00D3734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  <w:r w:rsidR="00D3734E">
        <w:t xml:space="preserve"> </w:t>
      </w:r>
      <w:r>
        <w:rPr>
          <w:b/>
          <w:sz w:val="28"/>
        </w:rPr>
        <w:t>ZA RAZDOBLJE</w:t>
      </w:r>
    </w:p>
    <w:p w14:paraId="07C2092E" w14:textId="77777777" w:rsidR="00A64BAA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9E6DEFC" w14:textId="77777777" w:rsidR="00A64BAA" w:rsidRDefault="00A64BAA"/>
    <w:p w14:paraId="69054901" w14:textId="77777777" w:rsidR="00A64BA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ACE94F1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78D800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4926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163B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C403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7A5A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A5880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1EAC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0FFEE0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8EBAD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95FAFB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A2C5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34E6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1.844.291,10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B2E47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1.792.925,18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35B36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  <w:tr w:rsidR="00A64BAA" w14:paraId="5CFBD6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4B22D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942F14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EFE17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C67A7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1.068.688,99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422D6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1.254.348,37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920CB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  <w:tr w:rsidR="00A64BAA" w14:paraId="06859E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925EF" w14:textId="77777777" w:rsidR="00A64BAA" w:rsidRDefault="00A64B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1131F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7692C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2A9FD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775.602,11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1DECE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538.576,81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D626B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69,4</w:t>
            </w:r>
          </w:p>
        </w:tc>
      </w:tr>
      <w:tr w:rsidR="00A64BAA" w14:paraId="0F9F29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D4A3D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E5E71E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0456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2B87D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17.719,21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C5EDD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01AC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8,4</w:t>
            </w:r>
          </w:p>
        </w:tc>
      </w:tr>
      <w:tr w:rsidR="00A64BAA" w14:paraId="442451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936EB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BCB919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5EB39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D95D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448.785,57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A326C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216.986,68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D207D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48,3</w:t>
            </w:r>
          </w:p>
        </w:tc>
      </w:tr>
      <w:tr w:rsidR="00A64BAA" w14:paraId="1D8F2D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D18E8" w14:textId="77777777" w:rsidR="00A64BAA" w:rsidRDefault="00A64B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9160AF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702B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F60CB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431.066,36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14ECC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215.492,30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8B61D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50,0</w:t>
            </w:r>
          </w:p>
        </w:tc>
      </w:tr>
      <w:tr w:rsidR="00A64BAA" w14:paraId="22E6F2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CE0F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DE5D5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E7EC9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2ABC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3D09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5597D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64BAA" w14:paraId="6DA8BE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61D37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FB9188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B0458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27A10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1865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B78DE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A64BAA" w14:paraId="5B2C30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13D3E" w14:textId="77777777" w:rsidR="00A64BAA" w:rsidRDefault="00A64B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B76065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9D9AE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20E3FF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763CF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CE28D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A64BAA" w14:paraId="2A38D2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588C3" w14:textId="77777777" w:rsidR="00A64BAA" w:rsidRDefault="00A64B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6C8817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DBFBB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16000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344.461,89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C853D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323.084,51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05990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93,8</w:t>
            </w:r>
          </w:p>
        </w:tc>
      </w:tr>
    </w:tbl>
    <w:p w14:paraId="60EDE688" w14:textId="77777777" w:rsidR="00A64BAA" w:rsidRDefault="00A64BAA">
      <w:pPr>
        <w:spacing w:after="0"/>
      </w:pPr>
    </w:p>
    <w:p w14:paraId="3DFAD69E" w14:textId="54936AB4" w:rsidR="00A64BAA" w:rsidRDefault="00000000" w:rsidP="00D3734E">
      <w:pPr>
        <w:jc w:val="both"/>
      </w:pPr>
      <w:r>
        <w:t xml:space="preserve">Višak prihoda poslovanja rezultat je neutrošenih financijskih sredstava tijekom tekuće godine. Sastoji se od viška poreznih prihoda te neutrošenih prihoda za posebne namjene prvenstveno poreza </w:t>
      </w:r>
      <w:proofErr w:type="spellStart"/>
      <w:r>
        <w:t>nadohodak</w:t>
      </w:r>
      <w:proofErr w:type="spellEnd"/>
      <w:r>
        <w:t xml:space="preserve">, turističke pristojbe te prihoda od koncesija i naknada za dozvole na pomorskom dobru, a isto tako i od neutrošenih prihoda od iznajmljivanja i korištenja </w:t>
      </w:r>
      <w:proofErr w:type="spellStart"/>
      <w:r>
        <w:t>nefinacijske</w:t>
      </w:r>
      <w:proofErr w:type="spellEnd"/>
      <w:r>
        <w:t xml:space="preserve"> imovine. </w:t>
      </w:r>
      <w:proofErr w:type="spellStart"/>
      <w:r>
        <w:t>Manajk</w:t>
      </w:r>
      <w:proofErr w:type="spellEnd"/>
      <w:r>
        <w:t xml:space="preserve"> prihoda od </w:t>
      </w:r>
      <w:proofErr w:type="spellStart"/>
      <w:r>
        <w:t>nefinacijske</w:t>
      </w:r>
      <w:proofErr w:type="spellEnd"/>
      <w:r>
        <w:t xml:space="preserve"> imovine nastao je ulaganjima u nabavu nefinancijske imovine i provedbu projekata pri čemu je ostvaren jako mali </w:t>
      </w:r>
      <w:proofErr w:type="spellStart"/>
      <w:r>
        <w:t>priod</w:t>
      </w:r>
      <w:proofErr w:type="spellEnd"/>
      <w:r>
        <w:t xml:space="preserve"> od prodaje nefinancijske imovine koji ne može značajno utjecati na smanjenje manjka prihoda od </w:t>
      </w:r>
      <w:proofErr w:type="spellStart"/>
      <w:r>
        <w:t>nefinanciske</w:t>
      </w:r>
      <w:proofErr w:type="spellEnd"/>
      <w:r>
        <w:t xml:space="preserve"> imovine.</w:t>
      </w:r>
    </w:p>
    <w:p w14:paraId="5B084204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26D9A2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96C6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0297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3C51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C33A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59D8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81490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42E12B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42E7C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B80306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8A498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F238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1.844.291,10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2BBE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1.792.925,18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EBA6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</w:tbl>
    <w:p w14:paraId="5359339B" w14:textId="77777777" w:rsidR="00A64BAA" w:rsidRDefault="00A64BAA">
      <w:pPr>
        <w:spacing w:after="0"/>
      </w:pPr>
    </w:p>
    <w:p w14:paraId="201D91A2" w14:textId="77777777" w:rsidR="00A64BAA" w:rsidRDefault="00000000">
      <w:r>
        <w:t>Prihodi poslovanja ostvareni su u iznosu od 1.792.925,18 EUR.</w:t>
      </w:r>
    </w:p>
    <w:p w14:paraId="2968C2E7" w14:textId="77777777" w:rsidR="00A64BAA" w:rsidRDefault="00A64BAA"/>
    <w:p w14:paraId="3309E399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271586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D299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16AD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D4E1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8BB6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AB82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7D0E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2CF3EE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4AF0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7ADD75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EA38C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252E18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570.948,87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6087E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768.231,13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07EF9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134,6</w:t>
            </w:r>
          </w:p>
        </w:tc>
      </w:tr>
    </w:tbl>
    <w:p w14:paraId="2522A79C" w14:textId="77777777" w:rsidR="00A64BAA" w:rsidRDefault="00A64BAA">
      <w:pPr>
        <w:spacing w:after="0"/>
      </w:pPr>
    </w:p>
    <w:p w14:paraId="3D84E284" w14:textId="77777777" w:rsidR="00A64BAA" w:rsidRDefault="00000000">
      <w:pPr>
        <w:jc w:val="both"/>
      </w:pPr>
      <w:r>
        <w:t xml:space="preserve">U 2025. godini ostvareno je za 34,6 % više prihoda od poreza na dohodak nego u 2024. godini budući da je izvršen manji povrat poreza na dohodak po godišnjoj prijavi za 2024. godinu. Na povećanje prihoda od poreza na dohodak utjecalo je i povećanje neto plaća </w:t>
      </w:r>
      <w:proofErr w:type="spellStart"/>
      <w:r>
        <w:t>zapolenih</w:t>
      </w:r>
      <w:proofErr w:type="spellEnd"/>
      <w:r>
        <w:t xml:space="preserve"> te razvoj i povećanje gospodarske aktivnosti za vrijeme turističke sezone.</w:t>
      </w:r>
    </w:p>
    <w:p w14:paraId="2DF2A970" w14:textId="77777777" w:rsidR="00A64BAA" w:rsidRDefault="00A64BAA"/>
    <w:p w14:paraId="515AEC1A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6E4237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0870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9BCE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02F0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8DBD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7803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F343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2BF9AA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70C91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BA19E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F824F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70C08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131.498,85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567FF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69.896,32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37A5B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53,2</w:t>
            </w:r>
          </w:p>
        </w:tc>
      </w:tr>
    </w:tbl>
    <w:p w14:paraId="241F5D4E" w14:textId="77777777" w:rsidR="00A64BAA" w:rsidRDefault="00A64BAA">
      <w:pPr>
        <w:spacing w:after="0"/>
      </w:pPr>
    </w:p>
    <w:p w14:paraId="624B4D71" w14:textId="77777777" w:rsidR="00A64BAA" w:rsidRDefault="00000000">
      <w:pPr>
        <w:jc w:val="both"/>
      </w:pPr>
      <w:r>
        <w:t>Porez na promet nekretnina ostvaren je u znatno manjem iznosu u odnosu na izvještajno razdoblje prethodne godine. </w:t>
      </w:r>
    </w:p>
    <w:p w14:paraId="7DE6D0E9" w14:textId="77777777" w:rsidR="00A64BAA" w:rsidRDefault="00A64BAA"/>
    <w:p w14:paraId="1AE96F89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034138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89C0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6C0C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DDB3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FE02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6950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0001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76FB4D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D936C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7D8CDA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13FEA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DE11B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57.389,70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18E44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64.441,87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BAF2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14:paraId="21C9A182" w14:textId="77777777" w:rsidR="00A64BAA" w:rsidRDefault="00A64BAA">
      <w:pPr>
        <w:spacing w:after="0"/>
      </w:pPr>
    </w:p>
    <w:p w14:paraId="4F45C195" w14:textId="77777777" w:rsidR="00A64BAA" w:rsidRDefault="00000000">
      <w:pPr>
        <w:jc w:val="both"/>
      </w:pPr>
      <w:r>
        <w:t xml:space="preserve">Prihod od poreza na </w:t>
      </w:r>
      <w:proofErr w:type="spellStart"/>
      <w:r>
        <w:t>potrošnnju</w:t>
      </w:r>
      <w:proofErr w:type="spellEnd"/>
      <w:r>
        <w:t xml:space="preserve"> povećan je 12,3% u odnosu na izvještajno razdoblje prethodne godine. Kontinuitet rasta prihoda od poreza na potrošnju usko je povezan sa razvojem turizma i ugostiteljske djelatnosti te povećanju cijena ugostiteljskih usluga.</w:t>
      </w:r>
    </w:p>
    <w:p w14:paraId="4220444D" w14:textId="77777777" w:rsidR="00A64BAA" w:rsidRDefault="00A64BAA"/>
    <w:p w14:paraId="6AE90946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638746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5B15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0906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06B5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239E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50CB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5BD9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5463C8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41975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71810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F0BF6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2A94DD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59.783,29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DBA7A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107.421,94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7AC25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179,7</w:t>
            </w:r>
          </w:p>
        </w:tc>
      </w:tr>
    </w:tbl>
    <w:p w14:paraId="130C03C4" w14:textId="77777777" w:rsidR="00A64BAA" w:rsidRDefault="00A64BAA">
      <w:pPr>
        <w:spacing w:after="0"/>
      </w:pPr>
    </w:p>
    <w:p w14:paraId="4EF942B4" w14:textId="77777777" w:rsidR="00A64BAA" w:rsidRDefault="00000000">
      <w:pPr>
        <w:jc w:val="both"/>
      </w:pPr>
      <w:r>
        <w:t xml:space="preserve">Od tekućih pomoći iz državnog proračuna Grad Komiža ostvario je 30.740,29 € na ime refundacije za pokriće troškova održavanja </w:t>
      </w:r>
      <w:proofErr w:type="spellStart"/>
      <w:r>
        <w:t>predsjedničkkih</w:t>
      </w:r>
      <w:proofErr w:type="spellEnd"/>
      <w:r>
        <w:t xml:space="preserve"> i lokalnih izbora. Za fiskalnu održivost dječjeg vrtića ostvareno je 39.096,00 € te 13.500,00 € sufinanciranja rashoda na projektu provođenja arheoloških </w:t>
      </w:r>
      <w:proofErr w:type="spellStart"/>
      <w:r>
        <w:t>istarživanja</w:t>
      </w:r>
      <w:proofErr w:type="spellEnd"/>
      <w:r>
        <w:t xml:space="preserve"> na otoku Svecu.</w:t>
      </w:r>
    </w:p>
    <w:p w14:paraId="4B80DEB0" w14:textId="77777777" w:rsidR="00A64BAA" w:rsidRDefault="00000000">
      <w:pPr>
        <w:jc w:val="both"/>
      </w:pPr>
      <w:r>
        <w:t xml:space="preserve">Od tekućih pomoći iz županijskog proračuna ostvareno je 8.100,00 €  za </w:t>
      </w:r>
      <w:proofErr w:type="spellStart"/>
      <w:r>
        <w:t>sufinaciranje</w:t>
      </w:r>
      <w:proofErr w:type="spellEnd"/>
      <w:r>
        <w:t xml:space="preserve"> rashoda manifestacije "</w:t>
      </w:r>
      <w:proofErr w:type="spellStart"/>
      <w:r>
        <w:t>Komiška</w:t>
      </w:r>
      <w:proofErr w:type="spellEnd"/>
      <w:r>
        <w:t xml:space="preserve"> zima vesela je svima", 1.805,54 € za </w:t>
      </w:r>
      <w:proofErr w:type="spellStart"/>
      <w:r>
        <w:t>sufinaciranje</w:t>
      </w:r>
      <w:proofErr w:type="spellEnd"/>
      <w:r>
        <w:t xml:space="preserve"> sadnog materijala te 6.000,00 € za </w:t>
      </w:r>
      <w:proofErr w:type="spellStart"/>
      <w:r>
        <w:t>sufinaciranje</w:t>
      </w:r>
      <w:proofErr w:type="spellEnd"/>
      <w:r>
        <w:t xml:space="preserve"> rashoda održavanja manifestacije "</w:t>
      </w:r>
      <w:proofErr w:type="spellStart"/>
      <w:r>
        <w:t>Rota</w:t>
      </w:r>
      <w:proofErr w:type="spellEnd"/>
      <w:r>
        <w:t xml:space="preserve"> </w:t>
      </w:r>
      <w:proofErr w:type="spellStart"/>
      <w:r>
        <w:t>Palagruzona</w:t>
      </w:r>
      <w:proofErr w:type="spellEnd"/>
      <w:r>
        <w:t>".</w:t>
      </w:r>
    </w:p>
    <w:p w14:paraId="59959FB9" w14:textId="36716591" w:rsidR="00A64BAA" w:rsidRDefault="00000000" w:rsidP="00D3734E">
      <w:pPr>
        <w:jc w:val="both"/>
      </w:pPr>
      <w:r>
        <w:t>Iz gradskog proračuna Grada Visa doznačeno je 8.180,11 € za pokriće rashoda održavanja lokalnih izbora.</w:t>
      </w:r>
    </w:p>
    <w:p w14:paraId="5C1D54FF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53AB52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29DD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E2DD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0E71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D7B3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C2F5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FFD7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64CD52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5B3B5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C0A0A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9C8AB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543A50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248.007,66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DF065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173.441,02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C2AA8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69,9</w:t>
            </w:r>
          </w:p>
        </w:tc>
      </w:tr>
    </w:tbl>
    <w:p w14:paraId="33DB9464" w14:textId="77777777" w:rsidR="00A64BAA" w:rsidRDefault="00A64BAA">
      <w:pPr>
        <w:spacing w:after="0"/>
      </w:pPr>
    </w:p>
    <w:p w14:paraId="09D88531" w14:textId="77777777" w:rsidR="00A64BAA" w:rsidRDefault="00000000">
      <w:pPr>
        <w:jc w:val="both"/>
      </w:pPr>
      <w:r>
        <w:t xml:space="preserve">Kapitalne pomoći iz državnog proračuna ostvarene su u ukupnom iznosu od 133.441,02 € od čega je ostvareno 3.939,81 € kao udio nacionalnog sufinanciranja na EU projektu digitalizacije i opremanja Kulturnog centra Ivana </w:t>
      </w:r>
      <w:proofErr w:type="spellStart"/>
      <w:r>
        <w:t>Vitića</w:t>
      </w:r>
      <w:proofErr w:type="spellEnd"/>
      <w:r>
        <w:t xml:space="preserve">. Također Grad Komiža ostvario je 12.221,21 € kapitalne pomoći za nabavu didaktičke opreme za Dječji vrtić "Komiža", 70.000,00 € za sufinanciranje rashoda na uređenju Ribarske ulice te 47.280,00 € za uređenje međukatnih konstrukcija na palači </w:t>
      </w:r>
      <w:proofErr w:type="spellStart"/>
      <w:r>
        <w:t>Zanchi</w:t>
      </w:r>
      <w:proofErr w:type="spellEnd"/>
      <w:r>
        <w:t>.</w:t>
      </w:r>
    </w:p>
    <w:p w14:paraId="3AC88640" w14:textId="66B8335C" w:rsidR="00A64BAA" w:rsidRDefault="00000000" w:rsidP="00D3734E">
      <w:pPr>
        <w:jc w:val="both"/>
      </w:pPr>
      <w:r>
        <w:t>Od kapitalnih pomoći iz županijskog proračuna ostvareno je 40.000,00 € za pokriće rashoda sanacije kamenih kolona u gradskoj luci.</w:t>
      </w:r>
    </w:p>
    <w:p w14:paraId="39D31DAB" w14:textId="77777777" w:rsidR="00A64BAA" w:rsidRDefault="00A64BAA"/>
    <w:p w14:paraId="7325E97B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47F331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B150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1DB5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8B53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C7DD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51EF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1AC7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78C0F9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07E55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BB5EBF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E6D06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95C65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65.469,53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A40AB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35.458,26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FBFE0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54,2</w:t>
            </w:r>
          </w:p>
        </w:tc>
      </w:tr>
    </w:tbl>
    <w:p w14:paraId="1E3CDA76" w14:textId="77777777" w:rsidR="00A64BAA" w:rsidRDefault="00A64BAA">
      <w:pPr>
        <w:spacing w:after="0"/>
      </w:pPr>
    </w:p>
    <w:p w14:paraId="4C28DA72" w14:textId="439749F5" w:rsidR="00A64BAA" w:rsidRDefault="00000000" w:rsidP="00D3734E">
      <w:pPr>
        <w:jc w:val="both"/>
      </w:pPr>
      <w:r>
        <w:t xml:space="preserve">Grad Komiža ostvario je od Agencije APPRRR 35.458,26 € </w:t>
      </w:r>
      <w:proofErr w:type="spellStart"/>
      <w:r>
        <w:t>bespovratih</w:t>
      </w:r>
      <w:proofErr w:type="spellEnd"/>
      <w:r>
        <w:t xml:space="preserve"> sredstava Europske unije za provedbu digitalizacije i opremanja Kulturnog centra Ivana </w:t>
      </w:r>
      <w:proofErr w:type="spellStart"/>
      <w:r>
        <w:t>Vitića</w:t>
      </w:r>
      <w:proofErr w:type="spellEnd"/>
      <w:r>
        <w:t>.</w:t>
      </w:r>
    </w:p>
    <w:p w14:paraId="56512573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614CF8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6850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ACFC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2353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0CF6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2953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41CA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4F7B6C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D114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BC205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0894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0E8DE8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54.366,84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6E176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110.091,09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4401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202,5</w:t>
            </w:r>
          </w:p>
        </w:tc>
      </w:tr>
    </w:tbl>
    <w:p w14:paraId="4CEFE330" w14:textId="77777777" w:rsidR="00A64BAA" w:rsidRDefault="00A64BAA">
      <w:pPr>
        <w:spacing w:after="0"/>
      </w:pPr>
    </w:p>
    <w:p w14:paraId="29EB8C65" w14:textId="77777777" w:rsidR="00A64BAA" w:rsidRDefault="00000000">
      <w:pPr>
        <w:jc w:val="both"/>
      </w:pPr>
      <w:r>
        <w:t xml:space="preserve">Prihod od zakupa </w:t>
      </w:r>
      <w:proofErr w:type="spellStart"/>
      <w:r>
        <w:t>imove</w:t>
      </w:r>
      <w:proofErr w:type="spellEnd"/>
      <w:r>
        <w:t xml:space="preserve"> ostvaren je u dvostruko većem iznosu budući je bio veći interes za kratkoročni zakup prostora u vlasništvu Grada, a isto tako naplaćena su i sva dugovanja iz prethodnih godina.</w:t>
      </w:r>
    </w:p>
    <w:p w14:paraId="4C75BE01" w14:textId="77777777" w:rsidR="00A64BAA" w:rsidRDefault="00A64BAA"/>
    <w:p w14:paraId="5C0718DC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01ACED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18A5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5CE7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EFD1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0C60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9F6D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FC9C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1100E9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10EC9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411E7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9DBB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E252A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44.183,78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48C8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58.348,99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F1F4F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14:paraId="6B1057E0" w14:textId="77777777" w:rsidR="00A64BAA" w:rsidRDefault="00A64BAA">
      <w:pPr>
        <w:spacing w:after="0"/>
      </w:pPr>
    </w:p>
    <w:p w14:paraId="6D080CA8" w14:textId="77777777" w:rsidR="00A64BAA" w:rsidRDefault="00000000">
      <w:pPr>
        <w:jc w:val="both"/>
      </w:pPr>
      <w:r>
        <w:t>Grad Komiža ostvario je 32,1% više prihoda od turističke pristojbe u odnosu na prethodnu godinu. </w:t>
      </w:r>
    </w:p>
    <w:p w14:paraId="68DA729A" w14:textId="77777777" w:rsidR="00A64BAA" w:rsidRDefault="00A64BAA"/>
    <w:p w14:paraId="1F6B7B9A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513B20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18DD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C966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3BB8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DDB0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92D4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A04E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7EE856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AE81A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871539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5F52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A19DA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1EADD0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EFACE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240BB0C" w14:textId="77777777" w:rsidR="00A64BAA" w:rsidRDefault="00A64BAA">
      <w:pPr>
        <w:spacing w:after="0"/>
      </w:pPr>
    </w:p>
    <w:p w14:paraId="78549C63" w14:textId="77777777" w:rsidR="00A64BAA" w:rsidRDefault="00000000">
      <w:pPr>
        <w:jc w:val="both"/>
      </w:pPr>
      <w:r>
        <w:t xml:space="preserve">Prihodi od pruženih usluga ostvareni su temeljem </w:t>
      </w:r>
      <w:proofErr w:type="spellStart"/>
      <w:r>
        <w:t>prefakturiranja</w:t>
      </w:r>
      <w:proofErr w:type="spellEnd"/>
      <w:r>
        <w:t xml:space="preserve"> troškova tiskanja knjige Zbornik 11. Dani Ranka Marinkovića, Hrvatskoj akademiji znanosti i umjetnosti kao suizdavaču.</w:t>
      </w:r>
    </w:p>
    <w:p w14:paraId="61008AC8" w14:textId="77777777" w:rsidR="00A64BAA" w:rsidRDefault="00A64BAA"/>
    <w:p w14:paraId="6CD90E91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6BCB03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0D0C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739B0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D006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49B9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1266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BFD2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3B5E53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0923F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D76E0E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5C987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133F5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1.068.688,99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317C5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1.254.348,37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3AB46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14:paraId="2CB9229E" w14:textId="77777777" w:rsidR="00A64BAA" w:rsidRDefault="00A64BAA">
      <w:pPr>
        <w:spacing w:after="0"/>
      </w:pPr>
    </w:p>
    <w:p w14:paraId="5571D6AC" w14:textId="77777777" w:rsidR="00A64BAA" w:rsidRDefault="00000000">
      <w:r>
        <w:t>Rashodi poslovanja ostvareni su u iznosu od 1.254.348,37 €.</w:t>
      </w:r>
    </w:p>
    <w:p w14:paraId="0B456512" w14:textId="77777777" w:rsidR="00A64BAA" w:rsidRDefault="00A64BAA"/>
    <w:p w14:paraId="00431C30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6D666F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D1D3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61D7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57B0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EA89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6A74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B793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547B0A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7BC1B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880C09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27FE5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317119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126.888,04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CC9E2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221.894,08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B2DDB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174,9</w:t>
            </w:r>
          </w:p>
        </w:tc>
      </w:tr>
    </w:tbl>
    <w:p w14:paraId="0F504420" w14:textId="77777777" w:rsidR="00A64BAA" w:rsidRDefault="00A64BAA">
      <w:pPr>
        <w:spacing w:after="0"/>
      </w:pPr>
    </w:p>
    <w:p w14:paraId="155239FF" w14:textId="77777777" w:rsidR="00A64BAA" w:rsidRDefault="00000000">
      <w:pPr>
        <w:jc w:val="both"/>
      </w:pPr>
      <w:r>
        <w:t xml:space="preserve">Rashodi za zaposlene ostvareni su u većem iznosu u odnosu na referentno razdoblje prethodne godine budući su upotpunjena radna mjesta koja su prošle godine bila upražnjena. Isto tako u tekućoj godini povećala se osnovica za obračun plaća te </w:t>
      </w:r>
      <w:proofErr w:type="spellStart"/>
      <w:r>
        <w:t>isplačivala</w:t>
      </w:r>
      <w:proofErr w:type="spellEnd"/>
      <w:r>
        <w:t xml:space="preserve"> i plaća </w:t>
      </w:r>
      <w:proofErr w:type="spellStart"/>
      <w:r>
        <w:t>bivem</w:t>
      </w:r>
      <w:proofErr w:type="spellEnd"/>
      <w:r>
        <w:t xml:space="preserve"> čelniku koji je to pravo ostvario temeljem zakona.</w:t>
      </w:r>
    </w:p>
    <w:p w14:paraId="0E87B239" w14:textId="77777777" w:rsidR="00A64BAA" w:rsidRDefault="00A64BAA"/>
    <w:p w14:paraId="06CCEC3C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1ED50B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F5DC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CE2D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8678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913D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BF35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3BD6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0C47C7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62DF8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BE7D74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F967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B5BF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11.526,94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232629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17.892,64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BC52B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155,2</w:t>
            </w:r>
          </w:p>
        </w:tc>
      </w:tr>
    </w:tbl>
    <w:p w14:paraId="38AB5187" w14:textId="77777777" w:rsidR="00A64BAA" w:rsidRDefault="00A64BAA">
      <w:pPr>
        <w:spacing w:after="0"/>
      </w:pPr>
    </w:p>
    <w:p w14:paraId="1F6376CB" w14:textId="77777777" w:rsidR="00A64BAA" w:rsidRDefault="00000000">
      <w:pPr>
        <w:jc w:val="both"/>
      </w:pPr>
      <w:r>
        <w:t xml:space="preserve">Grad Komiža sklopio je više ugovora o najmu stana u odnosu na </w:t>
      </w:r>
      <w:proofErr w:type="spellStart"/>
      <w:r>
        <w:t>pretodu</w:t>
      </w:r>
      <w:proofErr w:type="spellEnd"/>
      <w:r>
        <w:t xml:space="preserve"> godinu, a koji su potrebni za smještaj djelatnika sa zanimanjem od posebnog interesa i značaja za Grad Komižu.</w:t>
      </w:r>
    </w:p>
    <w:p w14:paraId="45D11FEA" w14:textId="77777777" w:rsidR="00A64BAA" w:rsidRDefault="00A64BAA"/>
    <w:p w14:paraId="02C22981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1ED8FF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EF70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6C39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A941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FB8C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F96C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777B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08AF47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FDDE7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50AB79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F48E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BA666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B558C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DA21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398,6</w:t>
            </w:r>
          </w:p>
        </w:tc>
      </w:tr>
    </w:tbl>
    <w:p w14:paraId="4759FE11" w14:textId="77777777" w:rsidR="00A64BAA" w:rsidRDefault="00A64BAA">
      <w:pPr>
        <w:spacing w:after="0"/>
      </w:pPr>
    </w:p>
    <w:p w14:paraId="6274A1F7" w14:textId="77777777" w:rsidR="00A64BAA" w:rsidRDefault="00000000">
      <w:pPr>
        <w:jc w:val="both"/>
      </w:pPr>
      <w:r>
        <w:t>Budući da su se pojačano provodile mjere zbrinjavanja životima samim time ostvareni su i veći rashodi.</w:t>
      </w:r>
    </w:p>
    <w:p w14:paraId="2F765C72" w14:textId="77777777" w:rsidR="00A64BAA" w:rsidRDefault="00A64BAA"/>
    <w:p w14:paraId="6AC5417A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2ECC4A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DCAC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8E5A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FC5D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6629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1E4D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51B1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7F8ED7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2065C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9AE917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CDFF5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8BA96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22.817,47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AB448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56.468,48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2F2F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247,5</w:t>
            </w:r>
          </w:p>
        </w:tc>
      </w:tr>
    </w:tbl>
    <w:p w14:paraId="25F3DBD0" w14:textId="77777777" w:rsidR="00A64BAA" w:rsidRDefault="00A64BAA">
      <w:pPr>
        <w:spacing w:after="0"/>
      </w:pPr>
    </w:p>
    <w:p w14:paraId="1744929B" w14:textId="77777777" w:rsidR="00A64BAA" w:rsidRDefault="00000000">
      <w:r>
        <w:t>Realiziran je veći broj savjetodavnih usluga na provođenju projekata kao i geodetskih usluga.</w:t>
      </w:r>
    </w:p>
    <w:p w14:paraId="3CB90832" w14:textId="77777777" w:rsidR="00A64BAA" w:rsidRDefault="00A64BAA"/>
    <w:p w14:paraId="217C2F5F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258262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214B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2B6F0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0B69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A329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3FB1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3E48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350F43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95F0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5EABD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22D77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C7257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51.291,15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F43984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107.180,03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F5226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209,0</w:t>
            </w:r>
          </w:p>
        </w:tc>
      </w:tr>
    </w:tbl>
    <w:p w14:paraId="259AEC0B" w14:textId="77777777" w:rsidR="00A64BAA" w:rsidRDefault="00A64BAA">
      <w:pPr>
        <w:spacing w:after="0"/>
      </w:pPr>
    </w:p>
    <w:p w14:paraId="435E18FE" w14:textId="77777777" w:rsidR="00A64BAA" w:rsidRDefault="00000000">
      <w:r>
        <w:t xml:space="preserve">Ostali nespomenuti rashodi povećani su za 109% u odnosu na </w:t>
      </w:r>
      <w:proofErr w:type="spellStart"/>
      <w:r>
        <w:t>prethodu</w:t>
      </w:r>
      <w:proofErr w:type="spellEnd"/>
      <w:r>
        <w:t xml:space="preserve"> godinu.</w:t>
      </w:r>
    </w:p>
    <w:p w14:paraId="0BF1AE8E" w14:textId="77777777" w:rsidR="00A64BAA" w:rsidRDefault="00A64BAA"/>
    <w:p w14:paraId="51C22EBD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6EAEED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7E87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F0FD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EFAA0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1B86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BE6A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CD7C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64A1AB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E735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2B212D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4960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1BC2AF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08AC5B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50.832,11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917C4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2334,3</w:t>
            </w:r>
          </w:p>
        </w:tc>
      </w:tr>
    </w:tbl>
    <w:p w14:paraId="294E326A" w14:textId="77777777" w:rsidR="00A64BAA" w:rsidRDefault="00A64BAA">
      <w:pPr>
        <w:spacing w:after="0"/>
      </w:pPr>
    </w:p>
    <w:p w14:paraId="37F0DBA2" w14:textId="77777777" w:rsidR="00A64BAA" w:rsidRDefault="00000000">
      <w:pPr>
        <w:jc w:val="both"/>
      </w:pPr>
      <w:r>
        <w:t xml:space="preserve">Naknade za rad predstavničkih i izvršnih tijela. </w:t>
      </w:r>
      <w:proofErr w:type="spellStart"/>
      <w:r>
        <w:t>povjerenstav</w:t>
      </w:r>
      <w:proofErr w:type="spellEnd"/>
      <w:r>
        <w:t xml:space="preserve"> i sl. odnose se prvenstveno na naknade za rad članova biračkih odbora i povjerenstava za vrijeme predsjedničkih i lokalnih izbora u tekućoj godini.</w:t>
      </w:r>
    </w:p>
    <w:p w14:paraId="2E26A880" w14:textId="77777777" w:rsidR="00A64BAA" w:rsidRDefault="00A64BAA"/>
    <w:p w14:paraId="1C1AF764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794F6E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1765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5DE9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931C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780D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6F1B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35D4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15A520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18876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1CFCFF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28C4A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CE1EC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311.205,38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4226E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377.245,26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9AE0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14:paraId="7AD30074" w14:textId="77777777" w:rsidR="00A64BAA" w:rsidRDefault="00A64BAA">
      <w:pPr>
        <w:spacing w:after="0"/>
      </w:pPr>
    </w:p>
    <w:p w14:paraId="0BC54DBE" w14:textId="77777777" w:rsidR="00A64BAA" w:rsidRDefault="00000000">
      <w:pPr>
        <w:jc w:val="both"/>
      </w:pPr>
      <w:r>
        <w:t>Prijenosi proračunskim korisnicima iz nadležnog proračuna ostvareni su u većem iznosu temeljem povećanja osnovice za izračun plaća djelatnika u gradskim ustanovama, a isto tako i zbog povećanja materijalnih rashoda koji ovise o kretanju cijena rada, robe i usluga na tržištu.</w:t>
      </w:r>
    </w:p>
    <w:p w14:paraId="2B441F35" w14:textId="77777777" w:rsidR="00A64BAA" w:rsidRDefault="00A64BAA"/>
    <w:p w14:paraId="6F6DFC08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76F535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ABF8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3A62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9A11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5224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FF4F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5DAB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2CF987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E4C66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65A4D1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0D5DE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98DDF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46.002,95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549740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58.804,46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B5A0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14:paraId="7BE23598" w14:textId="77777777" w:rsidR="00A64BAA" w:rsidRDefault="00A64BAA">
      <w:pPr>
        <w:spacing w:after="0"/>
      </w:pPr>
    </w:p>
    <w:p w14:paraId="302EF5C4" w14:textId="77777777" w:rsidR="00A64BAA" w:rsidRDefault="00000000">
      <w:pPr>
        <w:jc w:val="both"/>
      </w:pPr>
      <w:r>
        <w:t>Uvedene su nove socijalne naknade temeljem nove Odluke o socijalnoj skrbi čime su ostvareni i veći rashodi.</w:t>
      </w:r>
    </w:p>
    <w:p w14:paraId="14972943" w14:textId="77777777" w:rsidR="00A64BAA" w:rsidRDefault="00A64BAA"/>
    <w:p w14:paraId="0616A6A4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2BA97A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3970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4C86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8AC0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C3A2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F80B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A068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7304F6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2498F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5CA8F9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B30E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1EC1BE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17.719,21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B4A9F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AA33C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8,4</w:t>
            </w:r>
          </w:p>
        </w:tc>
      </w:tr>
    </w:tbl>
    <w:p w14:paraId="207A5E25" w14:textId="77777777" w:rsidR="00A64BAA" w:rsidRDefault="00A64BAA">
      <w:pPr>
        <w:spacing w:after="0"/>
      </w:pPr>
    </w:p>
    <w:p w14:paraId="117A7A5A" w14:textId="77777777" w:rsidR="00A64BAA" w:rsidRDefault="00000000">
      <w:r>
        <w:t>Prihodi od prodaje nefinancijske imovine ostvareni su u iznosu od 1.494,38 €.</w:t>
      </w:r>
    </w:p>
    <w:p w14:paraId="22B4780F" w14:textId="77777777" w:rsidR="00A64BAA" w:rsidRDefault="00A64BAA"/>
    <w:p w14:paraId="006E951F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4525B6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B662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BDB1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0C14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4BB8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AA7E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8558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38686D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84E1E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39BACD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0258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BE0AB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17.607,00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96BE16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7342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6,0</w:t>
            </w:r>
          </w:p>
        </w:tc>
      </w:tr>
    </w:tbl>
    <w:p w14:paraId="194521FA" w14:textId="77777777" w:rsidR="00A64BAA" w:rsidRDefault="00A64BAA">
      <w:pPr>
        <w:spacing w:after="0"/>
      </w:pPr>
    </w:p>
    <w:p w14:paraId="0C354545" w14:textId="77777777" w:rsidR="00A64BAA" w:rsidRDefault="00000000">
      <w:r>
        <w:t>Ostvareno je 1.050.00 € od prodaje zemljišta.</w:t>
      </w:r>
    </w:p>
    <w:p w14:paraId="72AF2C8C" w14:textId="77777777" w:rsidR="00A64BAA" w:rsidRDefault="00A64BAA"/>
    <w:p w14:paraId="454CF7D0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4B2FE3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BB14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C5B3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41AD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62CA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BE340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9ED4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3FB212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84C64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075A0B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proizvedene dugotrajne imovine (šifre 721+722+723+724+725+726)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616F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ABED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82D2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8EBFC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396,0</w:t>
            </w:r>
          </w:p>
        </w:tc>
      </w:tr>
    </w:tbl>
    <w:p w14:paraId="2D8D6CB6" w14:textId="77777777" w:rsidR="00A64BAA" w:rsidRDefault="00A64BAA">
      <w:pPr>
        <w:spacing w:after="0"/>
      </w:pPr>
    </w:p>
    <w:p w14:paraId="25904EB2" w14:textId="77777777" w:rsidR="00A64BAA" w:rsidRDefault="00000000">
      <w:r>
        <w:t>Prihodi od prodaje proizvedene dugotrajne imovine odnose se na donaciju uređaja.</w:t>
      </w:r>
    </w:p>
    <w:p w14:paraId="2C27CE91" w14:textId="77777777" w:rsidR="00A64BAA" w:rsidRDefault="00A64BAA"/>
    <w:p w14:paraId="0E2C6A98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698353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1FB7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A0C6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AC06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337D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1C41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D6F4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71A520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A073C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94839A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9A01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E35B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448.785,57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EA3C4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216.986,68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D4F39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48,3</w:t>
            </w:r>
          </w:p>
        </w:tc>
      </w:tr>
    </w:tbl>
    <w:p w14:paraId="66D57866" w14:textId="77777777" w:rsidR="00A64BAA" w:rsidRDefault="00A64BAA">
      <w:pPr>
        <w:spacing w:after="0"/>
      </w:pPr>
    </w:p>
    <w:p w14:paraId="2678CB15" w14:textId="77777777" w:rsidR="00A64BAA" w:rsidRDefault="00000000">
      <w:r>
        <w:t>Rashodi za nabavu nefinancijske imovine ostvareni su u iznosu od 216.986,68 €.</w:t>
      </w:r>
    </w:p>
    <w:p w14:paraId="031398EF" w14:textId="77777777" w:rsidR="00A64BAA" w:rsidRDefault="00A64BAA"/>
    <w:p w14:paraId="21DEB40F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7B4550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E75D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CD55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2133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9363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1F67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9BB5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4721C7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A37B1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A744A9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1EC8B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C98F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353.882,52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4268C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109.723,61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7B044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31,0</w:t>
            </w:r>
          </w:p>
        </w:tc>
      </w:tr>
    </w:tbl>
    <w:p w14:paraId="75E750A0" w14:textId="77777777" w:rsidR="00A64BAA" w:rsidRDefault="00A64BAA">
      <w:pPr>
        <w:spacing w:after="0"/>
      </w:pPr>
    </w:p>
    <w:p w14:paraId="460CF5CC" w14:textId="77777777" w:rsidR="00A64BAA" w:rsidRDefault="00000000">
      <w:r>
        <w:t>Izvršeni su radovi na uređenju partera Ribarske ulice.</w:t>
      </w:r>
    </w:p>
    <w:p w14:paraId="7A3E6DB2" w14:textId="77777777" w:rsidR="00A64BAA" w:rsidRDefault="00A64BAA"/>
    <w:p w14:paraId="480336A8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3C592B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4A19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75660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96FC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1E30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F9D8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ADBA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3CF13A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7361F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442D8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2C3CB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E2E58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18.543,75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4B984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10.778,13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DC4BC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58,1</w:t>
            </w:r>
          </w:p>
        </w:tc>
      </w:tr>
    </w:tbl>
    <w:p w14:paraId="0D61619D" w14:textId="77777777" w:rsidR="00A64BAA" w:rsidRDefault="00A64BAA">
      <w:pPr>
        <w:spacing w:after="0"/>
      </w:pPr>
    </w:p>
    <w:p w14:paraId="6BEA84B2" w14:textId="77777777" w:rsidR="00A64BAA" w:rsidRDefault="00000000">
      <w:r>
        <w:t xml:space="preserve">Rashodi za ostale </w:t>
      </w:r>
      <w:proofErr w:type="spellStart"/>
      <w:r>
        <w:t>građevisnke</w:t>
      </w:r>
      <w:proofErr w:type="spellEnd"/>
      <w:r>
        <w:t xml:space="preserve"> radove odnose se na izgradnju objekata javne rasvjete.</w:t>
      </w:r>
    </w:p>
    <w:p w14:paraId="1EF19781" w14:textId="77777777" w:rsidR="00A64BAA" w:rsidRDefault="00A64BAA"/>
    <w:p w14:paraId="354DE6A3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43AD65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5CC9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67A5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16D3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7EDF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0D06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8F28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790E60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1851D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2C8CF7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8BB1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D6520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D505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3.983,70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F2F8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90334C" w14:textId="77777777" w:rsidR="00A64BAA" w:rsidRDefault="00A64BAA">
      <w:pPr>
        <w:spacing w:after="0"/>
      </w:pPr>
    </w:p>
    <w:p w14:paraId="320CCABE" w14:textId="77777777" w:rsidR="00A64BAA" w:rsidRDefault="00000000">
      <w:r>
        <w:t>Rashodi ostvareni u visini 3.983,70 € odnose se na nabavu računalne opreme.</w:t>
      </w:r>
    </w:p>
    <w:p w14:paraId="2FCAB696" w14:textId="77777777" w:rsidR="00A64BAA" w:rsidRDefault="00A64BAA"/>
    <w:p w14:paraId="0ECB70FC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594EA0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A3AE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1A09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A3B9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DB47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0856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9BFC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0D72C1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A3B85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4A3F9F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79C96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F20EC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8.454,81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EF67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71.146,25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13ECA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841,5</w:t>
            </w:r>
          </w:p>
        </w:tc>
      </w:tr>
    </w:tbl>
    <w:p w14:paraId="06721CC2" w14:textId="77777777" w:rsidR="00A64BAA" w:rsidRDefault="00A64BAA">
      <w:pPr>
        <w:spacing w:after="0"/>
      </w:pPr>
    </w:p>
    <w:p w14:paraId="62C5E284" w14:textId="77777777" w:rsidR="00A64BAA" w:rsidRDefault="00000000">
      <w:pPr>
        <w:jc w:val="both"/>
      </w:pPr>
      <w:r>
        <w:t xml:space="preserve">Oprema za ostale namjene odnosi se na nabavu didaktičke opreme za Dječji vrtić "Komiža", opremanje Kulturnog centra "Ivan </w:t>
      </w:r>
      <w:proofErr w:type="spellStart"/>
      <w:r>
        <w:t>Vitić</w:t>
      </w:r>
      <w:proofErr w:type="spellEnd"/>
      <w:r>
        <w:t>" u okviru EU projekta, te nabavu uređaja za Gradsku upravu.</w:t>
      </w:r>
    </w:p>
    <w:p w14:paraId="5C8FC9F4" w14:textId="77777777" w:rsidR="00A64BAA" w:rsidRDefault="00A64BAA"/>
    <w:p w14:paraId="134373FA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460BCE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50B9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AB4E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A4D2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F494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A2C4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0E48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2A88A1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C84A6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49B84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EA1A8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C702A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7D5B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DF0B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4140,5</w:t>
            </w:r>
          </w:p>
        </w:tc>
      </w:tr>
    </w:tbl>
    <w:p w14:paraId="56B32E87" w14:textId="77777777" w:rsidR="00A64BAA" w:rsidRDefault="00A64BAA">
      <w:pPr>
        <w:spacing w:after="0"/>
      </w:pPr>
    </w:p>
    <w:p w14:paraId="330CC5B7" w14:textId="77777777" w:rsidR="00A64BAA" w:rsidRDefault="00000000">
      <w:r>
        <w:t>Nabavljeni su računalni programi za proračunske korisnike te su isti integrirani sa nadležnim proračunom što je ujedno priprema za uvođenje riznice.</w:t>
      </w:r>
    </w:p>
    <w:p w14:paraId="0C09BAB3" w14:textId="77777777" w:rsidR="00A64BAA" w:rsidRDefault="00A64BAA"/>
    <w:p w14:paraId="6C4C27DC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0531BB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2240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CD2D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0978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3178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B447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DF3E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6BCF06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4CA4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304E0B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EF6CE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BF0B8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96FC9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27213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67,4</w:t>
            </w:r>
          </w:p>
        </w:tc>
      </w:tr>
    </w:tbl>
    <w:p w14:paraId="00415CB9" w14:textId="77777777" w:rsidR="00A64BAA" w:rsidRDefault="00A64BAA">
      <w:pPr>
        <w:spacing w:after="0"/>
      </w:pPr>
    </w:p>
    <w:p w14:paraId="668EC832" w14:textId="77777777" w:rsidR="00A64BAA" w:rsidRDefault="00000000">
      <w:r>
        <w:t xml:space="preserve">Rashodi za ostalu nematerijalnu imovinu odnose se na izradu idejnog rješenja uređenja </w:t>
      </w:r>
      <w:proofErr w:type="spellStart"/>
      <w:r>
        <w:t>Bašte</w:t>
      </w:r>
      <w:proofErr w:type="spellEnd"/>
      <w:r>
        <w:t xml:space="preserve"> te na izradu Strategije upravljanja imovinom te Godišnjeg plana upravljanja imovinom.</w:t>
      </w:r>
    </w:p>
    <w:p w14:paraId="0EA31FB4" w14:textId="77777777" w:rsidR="00A64BAA" w:rsidRDefault="00A64BAA"/>
    <w:p w14:paraId="2303EFB8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572902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0299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7F46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7BA8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BC63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F87B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6549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0CD5A7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C3A73" w14:textId="77777777" w:rsidR="00A64BAA" w:rsidRDefault="00A64B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3B236B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AB151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012434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1.315.058,94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6A61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1.638.143,45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DEFCE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</w:tbl>
    <w:p w14:paraId="7B97ECC3" w14:textId="77777777" w:rsidR="00A64BAA" w:rsidRDefault="00A64BAA">
      <w:pPr>
        <w:spacing w:after="0"/>
      </w:pPr>
    </w:p>
    <w:p w14:paraId="0E62E17D" w14:textId="77777777" w:rsidR="00A64BAA" w:rsidRDefault="00000000">
      <w:pPr>
        <w:jc w:val="both"/>
      </w:pPr>
      <w:r>
        <w:t xml:space="preserve">Višak prihoda i primitaka tekuće godine iznosi 323.084,51 €. Iz prethodnih godina prenijet je višak prihoda i primitaka u iznosu od 1.315.058,94 € čime višak prihoda i primitaka raspoloživ u </w:t>
      </w:r>
      <w:proofErr w:type="spellStart"/>
      <w:r>
        <w:t>slijedečem</w:t>
      </w:r>
      <w:proofErr w:type="spellEnd"/>
      <w:r>
        <w:t xml:space="preserve"> razdoblju iznosi 1.638.143,45 €.</w:t>
      </w:r>
    </w:p>
    <w:p w14:paraId="02713A93" w14:textId="77777777" w:rsidR="00A64BAA" w:rsidRDefault="00A64BAA"/>
    <w:p w14:paraId="4CE0DBCA" w14:textId="77777777" w:rsidR="00A64BAA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95CABAD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7AE7D7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2EDC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8D4A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28040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F0E0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95F1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27CB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566779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C1FE9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A0ED4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ADEFD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9338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1.479.090,67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99A0E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1.489.868,80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67DBC9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100,7</w:t>
            </w:r>
          </w:p>
        </w:tc>
      </w:tr>
    </w:tbl>
    <w:p w14:paraId="5AAECD4B" w14:textId="77777777" w:rsidR="00A64BAA" w:rsidRDefault="00A64BAA">
      <w:pPr>
        <w:spacing w:after="0"/>
      </w:pPr>
    </w:p>
    <w:p w14:paraId="3CBAEC2B" w14:textId="1DFD074F" w:rsidR="00A64BAA" w:rsidRDefault="00000000" w:rsidP="00D3734E">
      <w:pPr>
        <w:jc w:val="both"/>
      </w:pPr>
      <w:r>
        <w:t>Povećanje imovine na računu "Ostali građevinski objekti" rezultat je izgradnje novih objekata javne rasvjete nabavne vrijednosti 9.528,13 € te nabave i postavljanje spomen-ploče nabavne vrijednosti 1.250,00 €. </w:t>
      </w:r>
    </w:p>
    <w:p w14:paraId="6A030DE7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53C14B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9406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9191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5825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639C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2FF3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5300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0EF651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9384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6FBA2D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4642C4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C1AC4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245.326,59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1BA89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232.617,11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EBAF0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</w:tbl>
    <w:p w14:paraId="1A92D420" w14:textId="77777777" w:rsidR="00A64BAA" w:rsidRDefault="00A64BAA">
      <w:pPr>
        <w:spacing w:after="0"/>
      </w:pPr>
    </w:p>
    <w:p w14:paraId="0DE09C81" w14:textId="77777777" w:rsidR="00A64BAA" w:rsidRDefault="00000000">
      <w:pPr>
        <w:jc w:val="both"/>
      </w:pPr>
      <w:r>
        <w:t>Tijekom tekuće godine izvršena je nabava nove računalne opreme i uredskog namještaja, a isto tako provođenjem popisa dugotrajne imovine utvrđena je računalna oprema koja je zastarjela i neupotrebljiva te je ista isknjižena i zbrinuta.</w:t>
      </w:r>
    </w:p>
    <w:p w14:paraId="7CE0C246" w14:textId="77777777" w:rsidR="00A64BAA" w:rsidRDefault="00A64BAA"/>
    <w:p w14:paraId="5589E739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018FDD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84FD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BFF0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3055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16A3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4D15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FDF2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68A6D2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A72F5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58DC9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27CE7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E67E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666.183,79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42B43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727.617,44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C5ADE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14:paraId="62F7F8D0" w14:textId="77777777" w:rsidR="00A64BAA" w:rsidRDefault="00A64BAA">
      <w:pPr>
        <w:spacing w:after="0"/>
      </w:pPr>
    </w:p>
    <w:p w14:paraId="5E112E69" w14:textId="77777777" w:rsidR="00A64BAA" w:rsidRDefault="00000000">
      <w:pPr>
        <w:jc w:val="both"/>
      </w:pPr>
      <w:r>
        <w:t xml:space="preserve">U tekućoj godini nabavljena je nova didaktička oprema za Dječji vrtić "Komiža" u iznosu od 15.022,14 €,  uređaji za potrebe gradske uprave te je završen projekat opremanja i digitalizacije Kulturnog centra "Ivan </w:t>
      </w:r>
      <w:proofErr w:type="spellStart"/>
      <w:r>
        <w:t>Vitić</w:t>
      </w:r>
      <w:proofErr w:type="spellEnd"/>
      <w:r>
        <w:t>" pri čemu je nabavljena imovina u visini od 55.450,00 €.</w:t>
      </w:r>
    </w:p>
    <w:p w14:paraId="542E4CBB" w14:textId="77777777" w:rsidR="00A64BAA" w:rsidRDefault="00A64BAA"/>
    <w:p w14:paraId="0F4292EE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518227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B64A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0B98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B251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BFA5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0B56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BEE4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599C15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10B7B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62234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F6FF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6700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64.680,81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23AF14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77.267,19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06E8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53EB9993" w14:textId="77777777" w:rsidR="00A64BAA" w:rsidRDefault="00A64BAA">
      <w:pPr>
        <w:spacing w:after="0"/>
      </w:pPr>
    </w:p>
    <w:p w14:paraId="106F769F" w14:textId="77777777" w:rsidR="00A64BAA" w:rsidRDefault="00000000">
      <w:pPr>
        <w:jc w:val="both"/>
      </w:pPr>
      <w:r>
        <w:t>Provedena je nabava računalnih programa za potrebe poslovanja proračunskih korisnika iz nadležnosti.</w:t>
      </w:r>
    </w:p>
    <w:p w14:paraId="1F26598D" w14:textId="77777777" w:rsidR="00A64BAA" w:rsidRDefault="00A64BAA"/>
    <w:p w14:paraId="1D463B02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03C1B3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28BD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AFE2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542E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5B51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0634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CAE2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57CE90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101B4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AB29A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9247D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993F9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807.590,67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E72A6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815.740,67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1372D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101,0</w:t>
            </w:r>
          </w:p>
        </w:tc>
      </w:tr>
    </w:tbl>
    <w:p w14:paraId="2A814F28" w14:textId="77777777" w:rsidR="00A64BAA" w:rsidRDefault="00A64BAA">
      <w:pPr>
        <w:spacing w:after="0"/>
      </w:pPr>
    </w:p>
    <w:p w14:paraId="002363A2" w14:textId="0F0E2A3C" w:rsidR="00A64BAA" w:rsidRDefault="00000000" w:rsidP="00D3734E">
      <w:pPr>
        <w:jc w:val="both"/>
      </w:pPr>
      <w:r>
        <w:t xml:space="preserve">Ulaganje u ostalu nematerijalnu imovinu odnosi se na izradu idejnog rješenja uređenja </w:t>
      </w:r>
      <w:proofErr w:type="spellStart"/>
      <w:r>
        <w:t>Bašte</w:t>
      </w:r>
      <w:proofErr w:type="spellEnd"/>
      <w:r>
        <w:t xml:space="preserve"> te na izradu Strategije upravljanja imovinom i Godišnjeg plana upravljanja imovinom.</w:t>
      </w:r>
    </w:p>
    <w:p w14:paraId="68B1F97E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3A6393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D471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D304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29F8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E3E80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0B38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3313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0D8D8E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AC9C4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8B1BF4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C1884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52E43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120.359,34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C7D8E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230.082,95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999CA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191,2</w:t>
            </w:r>
          </w:p>
        </w:tc>
      </w:tr>
    </w:tbl>
    <w:p w14:paraId="0AAA810C" w14:textId="77777777" w:rsidR="00A64BAA" w:rsidRDefault="00A64BAA">
      <w:pPr>
        <w:spacing w:after="0"/>
      </w:pPr>
    </w:p>
    <w:p w14:paraId="4A25514C" w14:textId="77777777" w:rsidR="00A64BAA" w:rsidRDefault="00000000">
      <w:r>
        <w:t>Započeti su radovi na uređenju partera Ribarske ulice - II. faza.</w:t>
      </w:r>
    </w:p>
    <w:p w14:paraId="14ACA355" w14:textId="77777777" w:rsidR="00A64BAA" w:rsidRDefault="00A64BAA"/>
    <w:p w14:paraId="3E02BBBC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42FA77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8FC8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DA49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FCF8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9615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8CEC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27A4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2C696B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ED7D6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3ADD0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CFB94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C278B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1.377.274,16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5E3F9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1.708.661,76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7B78C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14:paraId="635C2712" w14:textId="77777777" w:rsidR="00A64BAA" w:rsidRDefault="00A64BAA">
      <w:pPr>
        <w:spacing w:after="0"/>
      </w:pPr>
    </w:p>
    <w:p w14:paraId="6153CE4E" w14:textId="77777777" w:rsidR="00A64BAA" w:rsidRDefault="00000000">
      <w:pPr>
        <w:jc w:val="both"/>
      </w:pPr>
      <w:r>
        <w:t>Na kraju izvještajnog razdoblja utvrđeno je povećanje novčanih sredstava čime je osiguran kontinuitet likvidnog poslovanja Grada.</w:t>
      </w:r>
    </w:p>
    <w:p w14:paraId="671E6E56" w14:textId="77777777" w:rsidR="00A64BAA" w:rsidRDefault="00A64BAA"/>
    <w:p w14:paraId="157BB794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4885E0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E768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67AC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1EF2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16FF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1D9D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E9E90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4CFD11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2F88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042A75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D89D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D036C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920AD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7498B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14:paraId="23A53598" w14:textId="77777777" w:rsidR="00A64BAA" w:rsidRDefault="00A64BAA">
      <w:pPr>
        <w:spacing w:after="0"/>
      </w:pPr>
    </w:p>
    <w:p w14:paraId="1405DE2A" w14:textId="77777777" w:rsidR="00A64BAA" w:rsidRDefault="00000000">
      <w:pPr>
        <w:jc w:val="both"/>
      </w:pPr>
      <w:r>
        <w:t>Ostala potraživanja odnose se na dani predujam po ponudi za održavanje računalnog programa.</w:t>
      </w:r>
    </w:p>
    <w:p w14:paraId="4028B1D9" w14:textId="77777777" w:rsidR="00A64BAA" w:rsidRDefault="00A64BAA"/>
    <w:p w14:paraId="743B9B55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31BC7F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3135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A26C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DA9C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643A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F39B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5CA3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0491CD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677BF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0ADF4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3D9D7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68F86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1.315.058,94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E6574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1.638.143,45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6EB68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</w:tbl>
    <w:p w14:paraId="68883D3E" w14:textId="77777777" w:rsidR="00A64BAA" w:rsidRDefault="00A64BAA">
      <w:pPr>
        <w:spacing w:after="0"/>
      </w:pPr>
    </w:p>
    <w:p w14:paraId="4DA2603E" w14:textId="77777777" w:rsidR="00A64BAA" w:rsidRDefault="00000000">
      <w:r>
        <w:t>Višak prihoda i primitaka koji se prenosi u slijedeće razdoblje iznosi 1.638.143,45 €</w:t>
      </w:r>
    </w:p>
    <w:p w14:paraId="695319DD" w14:textId="77777777" w:rsidR="00A64BAA" w:rsidRDefault="00A64BAA"/>
    <w:p w14:paraId="34143057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4E699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F598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9E39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DBC8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64D4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E71A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B18F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5A1A75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7EA87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9D24BE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775D9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90E418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2.142.443,70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B338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2.327.868,47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48E78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14:paraId="442AC0E4" w14:textId="77777777" w:rsidR="00A64BAA" w:rsidRDefault="00A64BAA">
      <w:pPr>
        <w:spacing w:after="0"/>
      </w:pPr>
    </w:p>
    <w:p w14:paraId="3736C2B8" w14:textId="77777777" w:rsidR="00A64BAA" w:rsidRDefault="00000000">
      <w:pPr>
        <w:jc w:val="both"/>
      </w:pPr>
      <w:r>
        <w:t>Višak prihoda poslovanja na kraju izvještajnog razdoblja iznosi 2.327.868,47 €. </w:t>
      </w:r>
    </w:p>
    <w:p w14:paraId="4AD8E928" w14:textId="77777777" w:rsidR="00A64BAA" w:rsidRDefault="00A64BAA"/>
    <w:p w14:paraId="7E7574FA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7EE250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585A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5CBD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A8F8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25C9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68EE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423E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21E073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19F6F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8E478E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BF17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A7A9A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827.384,76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E5E2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689.725,02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E0DB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83,4</w:t>
            </w:r>
          </w:p>
        </w:tc>
      </w:tr>
    </w:tbl>
    <w:p w14:paraId="3ABECFCE" w14:textId="77777777" w:rsidR="00A64BAA" w:rsidRDefault="00A64BAA">
      <w:pPr>
        <w:spacing w:after="0"/>
      </w:pPr>
    </w:p>
    <w:p w14:paraId="4536DFE9" w14:textId="77777777" w:rsidR="00A64BAA" w:rsidRDefault="00000000">
      <w:pPr>
        <w:jc w:val="both"/>
      </w:pPr>
      <w:r>
        <w:t>Manja prihoda od nefinancijske imovine na kraju izvještajnog razdoblja iznosi 689.725,02 € </w:t>
      </w:r>
    </w:p>
    <w:p w14:paraId="6538D1D2" w14:textId="77777777" w:rsidR="00A64BAA" w:rsidRDefault="00A64BAA"/>
    <w:p w14:paraId="4FD65FDF" w14:textId="77777777" w:rsidR="00A64BA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6E28CE24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087EBC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93D0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62800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983A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BAC9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9661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F3C0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5E6612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0FA98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9A51B8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Izvršna i zakonodavna tijela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DB1AC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D5F0D0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262.447,99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404C5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486.254,71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7F605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185,3</w:t>
            </w:r>
          </w:p>
        </w:tc>
      </w:tr>
    </w:tbl>
    <w:p w14:paraId="0CE86B05" w14:textId="77777777" w:rsidR="00A64BAA" w:rsidRDefault="00A64BAA">
      <w:pPr>
        <w:spacing w:after="0"/>
      </w:pPr>
    </w:p>
    <w:p w14:paraId="4B5E5A4F" w14:textId="77777777" w:rsidR="00A64BAA" w:rsidRDefault="00000000">
      <w:pPr>
        <w:jc w:val="both"/>
      </w:pPr>
      <w:r>
        <w:t>Rashodi na funkcijskoj klasifikaciji "Izvršna i zakonodavna tijela" ostvareni su u 85,3% većem iznosu u odnosu na izvještajno razdoblje prethodne godine, prvenstveno zbog rashoda nastalih provedbom predsjedničkih i lokalnih izbora, većih rashoda za zaposlene te većih materijalnih rashoda.</w:t>
      </w:r>
    </w:p>
    <w:p w14:paraId="7DBB6B14" w14:textId="77777777" w:rsidR="00A64BAA" w:rsidRDefault="00A64BAA"/>
    <w:p w14:paraId="1A07CB10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6D6082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5F4C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BAF6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52F6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9521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F595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2D9F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6B6B85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E7042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D5562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Invaliditet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66577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F5D85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33A89B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834B9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DC6100" w14:textId="77777777" w:rsidR="00A64BAA" w:rsidRDefault="00A64BAA">
      <w:pPr>
        <w:spacing w:after="0"/>
      </w:pPr>
    </w:p>
    <w:p w14:paraId="1F81FAAB" w14:textId="77777777" w:rsidR="00A64BAA" w:rsidRDefault="00000000">
      <w:pPr>
        <w:jc w:val="both"/>
      </w:pPr>
      <w:r>
        <w:t>Rashodi na funkcijskoj klasifikaciji "Invaliditet" ostvareni su temeljem nove Odluke o socijalnoj skrbi po kojoj su uvedene nove socijalne naknade za građane sa invaliditetom.</w:t>
      </w:r>
    </w:p>
    <w:p w14:paraId="587A3867" w14:textId="77777777" w:rsidR="00A64BAA" w:rsidRDefault="00A64BAA"/>
    <w:p w14:paraId="63D2AFCB" w14:textId="77777777" w:rsidR="00A64BAA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24AED990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71EA03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D227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0B93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EB92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26AF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E05A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BD0E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083934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D3622" w14:textId="77777777" w:rsidR="00A64BAA" w:rsidRDefault="00A64B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328819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C0771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D6442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17EA8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628.605,05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4E1DA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A1BC39" w14:textId="77777777" w:rsidR="00A64BAA" w:rsidRDefault="00A64BAA">
      <w:pPr>
        <w:spacing w:after="0"/>
      </w:pPr>
    </w:p>
    <w:p w14:paraId="78BE969E" w14:textId="77777777" w:rsidR="00A64BAA" w:rsidRDefault="00000000">
      <w:pPr>
        <w:jc w:val="both"/>
      </w:pPr>
      <w:r>
        <w:t>Proveden je ispravak vrijednosti dugotrajne nefinancijske imovine te je upisan podatak o smanjenju knjigovodstvene vrijednosti.</w:t>
      </w:r>
    </w:p>
    <w:p w14:paraId="42A52947" w14:textId="77777777" w:rsidR="00A64BAA" w:rsidRDefault="00A64BAA"/>
    <w:p w14:paraId="552D68A0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4BAA" w14:paraId="0FFF4C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3A82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7AF5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DC8F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4507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0257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B566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6CCB0E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84C22" w14:textId="77777777" w:rsidR="00A64BAA" w:rsidRDefault="00A64B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FD93D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Plemeniti metali i ostale pohranjene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C55C5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136425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5C9C3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A3473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F05060" w14:textId="77777777" w:rsidR="00A64BAA" w:rsidRDefault="00A64BAA">
      <w:pPr>
        <w:spacing w:after="0"/>
      </w:pPr>
    </w:p>
    <w:p w14:paraId="524859E7" w14:textId="77777777" w:rsidR="00A64BAA" w:rsidRDefault="00000000">
      <w:r>
        <w:t>Isknjižene su pohranjene knjige koje su darovane.</w:t>
      </w:r>
    </w:p>
    <w:p w14:paraId="3CADC364" w14:textId="77777777" w:rsidR="00A64BAA" w:rsidRDefault="00A64BAA"/>
    <w:p w14:paraId="712DB050" w14:textId="77777777" w:rsidR="00A64BA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0D1D6DE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64BAA" w14:paraId="3E72AC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CA20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15DF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E5CC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B100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2E61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7222A9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F962C" w14:textId="77777777" w:rsidR="00A64BAA" w:rsidRDefault="00A64B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10ECAC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488C1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0F412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10.743,15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29A35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CBF546" w14:textId="77777777" w:rsidR="00A64BAA" w:rsidRDefault="00A64BAA">
      <w:pPr>
        <w:spacing w:after="0"/>
      </w:pPr>
    </w:p>
    <w:p w14:paraId="498D5D5D" w14:textId="77777777" w:rsidR="00A64BAA" w:rsidRDefault="00000000">
      <w:r>
        <w:t xml:space="preserve">Stanje </w:t>
      </w:r>
      <w:proofErr w:type="spellStart"/>
      <w:r>
        <w:t>dospijelih</w:t>
      </w:r>
      <w:proofErr w:type="spellEnd"/>
      <w:r>
        <w:t xml:space="preserve"> obveza na kraju izvještajnog razdoblja iznosi 10.743,15 €.</w:t>
      </w:r>
    </w:p>
    <w:p w14:paraId="4F4397F2" w14:textId="77777777" w:rsidR="00A64BAA" w:rsidRDefault="00A64BAA"/>
    <w:p w14:paraId="6F28EC9D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64BAA" w14:paraId="52A069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A2AB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6571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91E8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4C1A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5649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1F4646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5235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589A9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Ukupno obveze za rashode poslovanja (šifre D231+D232+D234+D235+D236+D237+D 238+D239)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E72BB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469C5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A6B60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11230C" w14:textId="77777777" w:rsidR="00A64BAA" w:rsidRDefault="00A64BAA">
      <w:pPr>
        <w:spacing w:after="0"/>
      </w:pPr>
    </w:p>
    <w:p w14:paraId="3A7A6DE8" w14:textId="77777777" w:rsidR="00A64BAA" w:rsidRDefault="00000000">
      <w:r>
        <w:t>Obveze za rashode poslovanja odnose se na dospjele rashode prema dobavljačima koje će se kompenzirati u slijedećem razdoblju.</w:t>
      </w:r>
    </w:p>
    <w:p w14:paraId="05D7425D" w14:textId="77777777" w:rsidR="00A64BAA" w:rsidRDefault="00A64BAA"/>
    <w:p w14:paraId="2E199E89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64BAA" w14:paraId="404996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3C2D1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5859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3F95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1F4A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43172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181796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C3C98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4D761F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D24A do D24D)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97A78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C4D7E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4.083,12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5DD4D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FA9F83" w14:textId="77777777" w:rsidR="00A64BAA" w:rsidRDefault="00A64BAA">
      <w:pPr>
        <w:spacing w:after="0"/>
      </w:pPr>
    </w:p>
    <w:p w14:paraId="38C65C8D" w14:textId="77777777" w:rsidR="00A64BAA" w:rsidRDefault="00000000">
      <w:pPr>
        <w:jc w:val="both"/>
      </w:pPr>
      <w:r>
        <w:t>Dospjele obveze za nabavu nefinancijske imovine iznose 4.083,12 €, a odnose se prijenos troškova ulaganja u poslovni prostor dan u zakup. Iste će se pokriti kompenzacijom u budućem razdoblju.</w:t>
      </w:r>
    </w:p>
    <w:p w14:paraId="2CD95FA5" w14:textId="77777777" w:rsidR="00A64BAA" w:rsidRDefault="00A64BAA"/>
    <w:p w14:paraId="2A370F4A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64BAA" w14:paraId="2F83B2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25543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DBAD6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5993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43F1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4C98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3D25D9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D3780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27146D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754CB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CB641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8B287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23874A" w14:textId="77777777" w:rsidR="00A64BAA" w:rsidRDefault="00A64BAA">
      <w:pPr>
        <w:spacing w:after="0"/>
      </w:pPr>
    </w:p>
    <w:p w14:paraId="1E0A0ED5" w14:textId="77777777" w:rsidR="00A64BAA" w:rsidRDefault="00000000">
      <w:pPr>
        <w:jc w:val="both"/>
      </w:pPr>
      <w:r>
        <w:t xml:space="preserve">Iznos od 5.034,18 € </w:t>
      </w:r>
      <w:proofErr w:type="spellStart"/>
      <w:r>
        <w:t>odospjelih</w:t>
      </w:r>
      <w:proofErr w:type="spellEnd"/>
      <w:r>
        <w:t xml:space="preserve"> obveza odnosi se na dospjele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koji su uplaćeni u proteklom razdoblje tijekom provedbe projekata.</w:t>
      </w:r>
    </w:p>
    <w:p w14:paraId="02E7B90E" w14:textId="77777777" w:rsidR="00A64BAA" w:rsidRDefault="00A64BAA"/>
    <w:p w14:paraId="0EB2FFFE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64BAA" w14:paraId="531E86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365B5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17E3B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4A77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8D718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09847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612C83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C6B84" w14:textId="77777777" w:rsidR="00A64BAA" w:rsidRDefault="00A64B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85846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34B737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56604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61.950,83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7614D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AFD074" w14:textId="77777777" w:rsidR="00A64BAA" w:rsidRDefault="00A64BAA">
      <w:pPr>
        <w:spacing w:after="0"/>
      </w:pPr>
    </w:p>
    <w:p w14:paraId="0ADC937D" w14:textId="77777777" w:rsidR="00A64BAA" w:rsidRDefault="00000000">
      <w:r>
        <w:t>Stanje nedospjelih obveza u izvještajnom razdoblju iznosi 61.950,83 €.</w:t>
      </w:r>
    </w:p>
    <w:p w14:paraId="4B12CF5E" w14:textId="77777777" w:rsidR="00A64BAA" w:rsidRDefault="00A64BAA"/>
    <w:p w14:paraId="2BAA2264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64BAA" w14:paraId="1CA901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6169E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E7F6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A10E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7EF4D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40DF9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411066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3B7DA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A0EF06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EA84C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B53D6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51.646,60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C059F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2C95C7" w14:textId="77777777" w:rsidR="00A64BAA" w:rsidRDefault="00A64BAA">
      <w:pPr>
        <w:spacing w:after="0"/>
      </w:pPr>
    </w:p>
    <w:p w14:paraId="227ACD6F" w14:textId="77777777" w:rsidR="00A64BAA" w:rsidRDefault="00000000">
      <w:pPr>
        <w:jc w:val="both"/>
      </w:pPr>
      <w:r>
        <w:t>Nedospjele obveze odnose se na obveze za plaću za prosinac 2025. godine u iznosu od 16.002,15 €, nedospjele obveze prema računima dobavljača u iznosu od 16.243,78 €, obveze za donaciju DVD-u Komiža u iznosu od 15.000,00 €, obveze za ostale kazne u iznosu od 2.598,00 €, obveza za PDV po obračunu za prosinac 2025. godine u iznosu od 1.642,67 € te ostale nespomenute obveze u iznosu od 160,00 €, a što se odnosi na povrat neutrošenih sredstava za ogrjev u državni proračun RH.</w:t>
      </w:r>
    </w:p>
    <w:p w14:paraId="5C27E281" w14:textId="77777777" w:rsidR="00A64BAA" w:rsidRDefault="00A64BAA"/>
    <w:p w14:paraId="01295E23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64BAA" w14:paraId="44E225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D0E1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1D2EF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5EC9C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2ED54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7B11A" w14:textId="77777777" w:rsidR="00A64B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4BAA" w14:paraId="2FE968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59363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E400FF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73425" w14:textId="77777777" w:rsidR="00A64B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82C82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10.304,23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0527E" w14:textId="77777777" w:rsidR="00A64B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569C25" w14:textId="77777777" w:rsidR="00A64BAA" w:rsidRDefault="00A64BAA">
      <w:pPr>
        <w:spacing w:after="0"/>
      </w:pPr>
    </w:p>
    <w:p w14:paraId="1DB10CCA" w14:textId="77777777" w:rsidR="00A64BAA" w:rsidRDefault="00000000">
      <w:pPr>
        <w:jc w:val="both"/>
      </w:pPr>
      <w:r>
        <w:t>Nedospjele obveze odnose se na obveze za predujam u iznosu od 650,00 €, nedospjele obveze za jamčevine u iznosu od 4.435,98 € te obveze za naplaćena sredstva proračunskih korisnika u iznosu od 5.218,25 €. Budući da su na dan 31.12.2025. godine zatvoreni računi proračunskih korisnika zbog uspostave riznice preostala namjenska sredstva prebačena su na računu proračuna.</w:t>
      </w:r>
    </w:p>
    <w:p w14:paraId="2C445097" w14:textId="77777777" w:rsidR="00A64BAA" w:rsidRDefault="00A64BAA"/>
    <w:p w14:paraId="53D474F7" w14:textId="77777777" w:rsidR="00A64BAA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p w14:paraId="189805D8" w14:textId="77777777" w:rsidR="00A64BAA" w:rsidRDefault="00000000">
      <w:pPr>
        <w:spacing w:line="240" w:lineRule="auto"/>
        <w:jc w:val="both"/>
      </w:pPr>
      <w:r>
        <w:rPr>
          <w:b/>
        </w:rPr>
        <w:t>EU izvještaj</w:t>
      </w:r>
    </w:p>
    <w:p w14:paraId="1B24E858" w14:textId="77777777" w:rsidR="00A64BAA" w:rsidRDefault="00000000">
      <w:pPr>
        <w:jc w:val="both"/>
      </w:pPr>
      <w:r>
        <w:t xml:space="preserve">Grad Komiža je u tekućoj godini izvršio provedbu projekta "Opremanje i digitalizacija Kulturnog centra Ivan </w:t>
      </w:r>
      <w:proofErr w:type="spellStart"/>
      <w:r>
        <w:t>Vitić</w:t>
      </w:r>
      <w:proofErr w:type="spellEnd"/>
      <w:r>
        <w:t xml:space="preserve">" sufinanciranog sredstvima Europske unije pri čemu je ostvaren iznos potpore u visini od 39.398,07 €. Budući da u trenutku uplate sredstava nije bio poznat model knjiženja udjela </w:t>
      </w:r>
      <w:proofErr w:type="spellStart"/>
      <w:r>
        <w:t>nacionalog</w:t>
      </w:r>
      <w:proofErr w:type="spellEnd"/>
      <w:r>
        <w:t xml:space="preserve"> učešća sadržan u odobrenom iznosu </w:t>
      </w:r>
      <w:proofErr w:type="spellStart"/>
      <w:r>
        <w:t>bespovratih</w:t>
      </w:r>
      <w:proofErr w:type="spellEnd"/>
      <w:r>
        <w:t xml:space="preserve"> sredstava, isti je evidentiran u glavnoj knjizi na kontu 63321 "Kapitalne pomoći iz državnog proračuna", a u EU izvještaju je iskazan na odgovarajuće konto  63823 "Kapitalne pomoći od proračunskog korisnika drugog proračuna temeljem prijenosa EU sredstava".</w:t>
      </w:r>
    </w:p>
    <w:p w14:paraId="71F22646" w14:textId="77777777" w:rsidR="00A64BAA" w:rsidRDefault="00A64BAA"/>
    <w:sectPr w:rsidR="00A64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BAA"/>
    <w:rsid w:val="007D6CF5"/>
    <w:rsid w:val="00A64BAA"/>
    <w:rsid w:val="00D3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E213"/>
  <w15:docId w15:val="{3ABB75F7-E144-497E-A48C-E9C2BE39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B04D1-CB1F-43F5-8605-632876A6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3443</Words>
  <Characters>19628</Characters>
  <Application>Microsoft Office Word</Application>
  <DocSecurity>0</DocSecurity>
  <Lines>163</Lines>
  <Paragraphs>46</Paragraphs>
  <ScaleCrop>false</ScaleCrop>
  <Company/>
  <LinksUpToDate>false</LinksUpToDate>
  <CharactersWithSpaces>23025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Veni Komiza</cp:lastModifiedBy>
  <cp:revision>3</cp:revision>
  <dcterms:created xsi:type="dcterms:W3CDTF">2026-02-18T08:09:00Z</dcterms:created>
  <dcterms:modified xsi:type="dcterms:W3CDTF">2026-02-18T08:12:00Z</dcterms:modified>
</cp:coreProperties>
</file>